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 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10.1519775390625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SEGUNDO DE ENSEÑANZAS PROFESIONALES</w:t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</w:t>
      </w:r>
    </w:p>
    <w:p w:rsidR="00000000" w:rsidDel="00000000" w:rsidP="00000000" w:rsidRDefault="00000000" w:rsidRPr="00000000" w14:paraId="00000005">
      <w:pPr>
        <w:widowControl w:val="0"/>
        <w:spacing w:before="127.12890625" w:line="360" w:lineRule="auto"/>
        <w:ind w:left="3.887939453125" w:right="-1.00341796875" w:firstLine="0"/>
        <w:jc w:val="both"/>
        <w:rPr/>
      </w:pPr>
      <w:r w:rsidDel="00000000" w:rsidR="00000000" w:rsidRPr="00000000">
        <w:rPr>
          <w:rtl w:val="0"/>
        </w:rPr>
        <w:t xml:space="preserve">La enseñanza del folklore en segundo de enseñanzas profesionales de danza  tendrá como objetivo contribuir a desarrollar en el alumnado las siguientes  capacidades: </w:t>
      </w:r>
    </w:p>
    <w:p w:rsidR="00000000" w:rsidDel="00000000" w:rsidP="00000000" w:rsidRDefault="00000000" w:rsidRPr="00000000" w14:paraId="00000006">
      <w:pPr>
        <w:widowControl w:val="0"/>
        <w:spacing w:before="25.25390625" w:line="360" w:lineRule="auto"/>
        <w:ind w:left="3.455963134765625" w:right="0.205078125" w:firstLine="20.0880432128906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murciano, valenciano y  extremeño, y adquirir un repertorio de las danzas y bailes más representativos.  2.- Conocer las circunstancias geográficas-histórico culturales y sociológicas que han  influido en Murcia, Extremadura y Valencia dando lugar a las diferentes formas, estilos  y significados de nuestras danzas folklóricas. </w:t>
      </w:r>
    </w:p>
    <w:p w:rsidR="00000000" w:rsidDel="00000000" w:rsidP="00000000" w:rsidRDefault="00000000" w:rsidRPr="00000000" w14:paraId="00000007">
      <w:pPr>
        <w:widowControl w:val="0"/>
        <w:spacing w:before="27.25341796875" w:line="360" w:lineRule="auto"/>
        <w:ind w:left="8.424072265625" w:right="0.5200195312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espacial, los  conocimientos técnicos y de estilo así como la expresividad necesarios para poder  interpretar el folklore murciano, extremeño y valenciano.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14.2559814453125" w:right="-0.552978515625" w:hanging="11.447906494140625"/>
        <w:jc w:val="both"/>
        <w:rPr/>
      </w:pPr>
      <w:r w:rsidDel="00000000" w:rsidR="00000000" w:rsidRPr="00000000">
        <w:rPr>
          <w:rtl w:val="0"/>
        </w:rPr>
        <w:t xml:space="preserve">4.- Interpretar las danzas de folklore murciano, extremeño y valenciano programadas  para este curso con la mayor fidelidad posible. </w:t>
      </w:r>
    </w:p>
    <w:p w:rsidR="00000000" w:rsidDel="00000000" w:rsidP="00000000" w:rsidRDefault="00000000" w:rsidRPr="00000000" w14:paraId="00000009">
      <w:pPr>
        <w:widowControl w:val="0"/>
        <w:spacing w:before="27.2540283203125" w:line="360" w:lineRule="auto"/>
        <w:ind w:left="14.2559814453125" w:right="-0.008544921875" w:hanging="5.18402099609375"/>
        <w:jc w:val="both"/>
        <w:rPr/>
      </w:pPr>
      <w:r w:rsidDel="00000000" w:rsidR="00000000" w:rsidRPr="00000000">
        <w:rPr>
          <w:rtl w:val="0"/>
        </w:rPr>
        <w:t xml:space="preserve">5.- Situar e identificar el folklore murciano, extremeño y valenciano a través de una  muestra instrumental y/o bailada, o a través del traje. </w:t>
      </w:r>
    </w:p>
    <w:p w:rsidR="00000000" w:rsidDel="00000000" w:rsidP="00000000" w:rsidRDefault="00000000" w:rsidRPr="00000000" w14:paraId="0000000A">
      <w:pPr>
        <w:widowControl w:val="0"/>
        <w:spacing w:before="27.2540283203125" w:line="360" w:lineRule="auto"/>
        <w:ind w:left="14.2559814453125" w:right="1.92138671875" w:hanging="6.0479736328125"/>
        <w:jc w:val="both"/>
        <w:rPr/>
      </w:pPr>
      <w:r w:rsidDel="00000000" w:rsidR="00000000" w:rsidRPr="00000000">
        <w:rPr>
          <w:rtl w:val="0"/>
        </w:rPr>
        <w:t xml:space="preserve">6.- Despertar el gusto e interés por obtener la máxima información sobre el folklore  murciano, extremeño y valenciano.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7.991943359375" w:right="3.07006835937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C">
      <w:pPr>
        <w:widowControl w:val="0"/>
        <w:spacing w:before="411.25488281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CONTENIDOS: </w:t>
      </w:r>
    </w:p>
    <w:p w:rsidR="00000000" w:rsidDel="00000000" w:rsidP="00000000" w:rsidRDefault="00000000" w:rsidRPr="00000000" w14:paraId="0000000D">
      <w:pPr>
        <w:widowControl w:val="0"/>
        <w:spacing w:before="127.1282958984375" w:line="360" w:lineRule="auto"/>
        <w:ind w:left="2.808074951171875" w:right="1.717529296875" w:firstLine="20.73593139648437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murciana, extremeña y  valenciana: sus costumbres, trajes, tradiciones y significado social de sus danzas y  bailes más representativos. </w:t>
      </w:r>
    </w:p>
    <w:p w:rsidR="00000000" w:rsidDel="00000000" w:rsidP="00000000" w:rsidRDefault="00000000" w:rsidRPr="00000000" w14:paraId="0000000E">
      <w:pPr>
        <w:widowControl w:val="0"/>
        <w:spacing w:before="27.25433349609375" w:line="360" w:lineRule="auto"/>
        <w:ind w:left="7.991943359375" w:right="-0.791015625" w:hanging="1.7279052734375"/>
        <w:jc w:val="both"/>
        <w:rPr/>
      </w:pPr>
      <w:r w:rsidDel="00000000" w:rsidR="00000000" w:rsidRPr="00000000">
        <w:rPr>
          <w:rtl w:val="0"/>
        </w:rPr>
        <w:t xml:space="preserve">2.- Realización de ejercicios y tablas de pasos que permitan adquirir la técnica y el  estilo propio del folklore a estudiar para la interpretación de los bailes populares  elegidos para ser programados en este curso. 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2.808074951171875" w:right="2.698974609375" w:firstLine="6.2638854980468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murciano, extremeño y  valenciano programados para este curso.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7.991943359375" w:right="0.430908203125" w:hanging="5.183868408203125"/>
        <w:jc w:val="both"/>
        <w:rPr/>
      </w:pPr>
      <w:r w:rsidDel="00000000" w:rsidR="00000000" w:rsidRPr="00000000">
        <w:rPr>
          <w:rtl w:val="0"/>
        </w:rPr>
        <w:t xml:space="preserve">4.- Trabajo y coordinación de las castañuelas como instrumento de acompañamiento  en algunos de los bailes programados para este curso ( trabajo de la castañuela  clásica y la que se coloca en el dedo corazón). </w:t>
      </w:r>
    </w:p>
    <w:p w:rsidR="00000000" w:rsidDel="00000000" w:rsidP="00000000" w:rsidRDefault="00000000" w:rsidRPr="00000000" w14:paraId="00000011">
      <w:pPr>
        <w:widowControl w:val="0"/>
        <w:spacing w:before="406.453857421875" w:line="360" w:lineRule="auto"/>
        <w:ind w:left="17.711944580078125" w:right="1428.797607421875" w:hanging="8.639984130859375"/>
        <w:jc w:val="both"/>
        <w:rPr/>
      </w:pPr>
      <w:r w:rsidDel="00000000" w:rsidR="00000000" w:rsidRPr="00000000">
        <w:rPr>
          <w:rtl w:val="0"/>
        </w:rPr>
        <w:t xml:space="preserve">5.- Interpretación con la mayor fidelidad posible de las siguientes danzas: </w:t>
      </w:r>
      <w:r w:rsidDel="00000000" w:rsidR="00000000" w:rsidRPr="00000000">
        <w:rPr>
          <w:u w:val="single"/>
          <w:rtl w:val="0"/>
        </w:rPr>
        <w:t xml:space="preserve">Folklore Murciano</w:t>
      </w:r>
      <w:r w:rsidDel="00000000" w:rsidR="00000000" w:rsidRPr="00000000">
        <w:rPr>
          <w:rtl w:val="0"/>
        </w:rPr>
        <w:t xml:space="preserve">: “Parrandas”. </w:t>
      </w:r>
    </w:p>
    <w:p w:rsidR="00000000" w:rsidDel="00000000" w:rsidP="00000000" w:rsidRDefault="00000000" w:rsidRPr="00000000" w14:paraId="00000012">
      <w:pPr>
        <w:widowControl w:val="0"/>
        <w:spacing w:before="32.054443359375" w:line="360" w:lineRule="auto"/>
        <w:ind w:left="17.71194458007812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Folklore extremeño: </w:t>
      </w:r>
      <w:r w:rsidDel="00000000" w:rsidR="00000000" w:rsidRPr="00000000">
        <w:rPr>
          <w:rtl w:val="0"/>
        </w:rPr>
        <w:t xml:space="preserve">“Jota de la Siberia Extremeña”. </w:t>
      </w:r>
    </w:p>
    <w:p w:rsidR="00000000" w:rsidDel="00000000" w:rsidP="00000000" w:rsidRDefault="00000000" w:rsidRPr="00000000" w14:paraId="00000013">
      <w:pPr>
        <w:widowControl w:val="0"/>
        <w:spacing w:before="127.12890625" w:line="360" w:lineRule="auto"/>
        <w:ind w:left="17.71194458007812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Folklore valenciano: </w:t>
      </w:r>
      <w:r w:rsidDel="00000000" w:rsidR="00000000" w:rsidRPr="00000000">
        <w:rPr>
          <w:rtl w:val="0"/>
        </w:rPr>
        <w:t xml:space="preserve">“Jota de Moncada”. </w:t>
      </w:r>
    </w:p>
    <w:p w:rsidR="00000000" w:rsidDel="00000000" w:rsidP="00000000" w:rsidRDefault="00000000" w:rsidRPr="00000000" w14:paraId="00000014">
      <w:pPr>
        <w:widowControl w:val="0"/>
        <w:spacing w:before="127.127685546875" w:line="360" w:lineRule="auto"/>
        <w:ind w:left="7.991943359375" w:right="3.448486328125" w:firstLine="5.18402099609375"/>
        <w:jc w:val="both"/>
        <w:rPr/>
      </w:pPr>
      <w:r w:rsidDel="00000000" w:rsidR="00000000" w:rsidRPr="00000000">
        <w:rPr>
          <w:rtl w:val="0"/>
        </w:rPr>
        <w:t xml:space="preserve">(bailes propuestos por el departamento y que el/la profesor/a puede modificar a su  elección entre otros de folklore de las comunidades autónomas referidas). 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Desarrollo permanente de la capacidad de concentración, observación y memoria. 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8.424072265625" w:right="1.3427734375" w:firstLine="0.64788818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8.424072265625" w:right="1.3427734375" w:firstLine="0.64788818359375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 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17.064056396484375" w:right="1.72119140625" w:firstLine="6.479949951171875"/>
        <w:jc w:val="both"/>
        <w:rPr/>
      </w:pPr>
      <w:r w:rsidDel="00000000" w:rsidR="00000000" w:rsidRPr="00000000">
        <w:rPr>
          <w:rtl w:val="0"/>
        </w:rPr>
        <w:t xml:space="preserve">1.- Exponer la realización de un trabajo sobre la Comunidad Autónoma Murciana,  Extremeña y Valenciana y su folklore. </w:t>
      </w:r>
    </w:p>
    <w:p w:rsidR="00000000" w:rsidDel="00000000" w:rsidP="00000000" w:rsidRDefault="00000000" w:rsidRPr="00000000" w14:paraId="00000019">
      <w:pPr>
        <w:widowControl w:val="0"/>
        <w:spacing w:before="27.2540283203125" w:line="360" w:lineRule="auto"/>
        <w:ind w:left="6.91192626953125" w:right="0.0732421875" w:firstLine="3.888092041015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interés y la capacidad de investigación del  alumno/a por el folklore y el grado de conocimiento adquirido sobre las circunstancias  geográficas, históricas, culturales y sociológicas de Murcia, Extremadura y Valencia y  los bailes estudiados.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1.9439697265625" w:right="-1.24389648437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4.040069580078125" w:right="1.05224609375" w:firstLine="0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 identificar el folklore estudiado, así como la capacidad de analizar cómo la  indumentaria y otras características influyen en el carácter, el estilo y la forma de  bailes de las diferentes comunidades autónomas.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14.2559814453125" w:right="-0.29174804687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estudiados acompañándose de los instrumentos de  percusión que los mismos requieran. </w:t>
      </w:r>
    </w:p>
    <w:p w:rsidR="00000000" w:rsidDel="00000000" w:rsidP="00000000" w:rsidRDefault="00000000" w:rsidRPr="00000000" w14:paraId="0000001D">
      <w:pPr>
        <w:widowControl w:val="0"/>
        <w:spacing w:before="27.2540283203125" w:line="360" w:lineRule="auto"/>
        <w:ind w:left="7.991943359375" w:right="0.82885742187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utilizados en los bailes de folklore  programados; además de la coordinación, sentido rítmico y su evolución por el  espacio. </w:t>
      </w:r>
    </w:p>
    <w:p w:rsidR="00000000" w:rsidDel="00000000" w:rsidP="00000000" w:rsidRDefault="00000000" w:rsidRPr="00000000" w14:paraId="0000001E">
      <w:pPr>
        <w:widowControl w:val="0"/>
        <w:spacing w:before="396.8548583984375" w:line="360" w:lineRule="auto"/>
        <w:ind w:left="22.319946289062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before="151.92001342773438" w:line="360" w:lineRule="auto"/>
        <w:ind w:left="720" w:right="408.08715820312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2">
      <w:pPr>
        <w:widowControl w:val="0"/>
        <w:spacing w:before="55.1281738281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55.128173828125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before="137.518310546875" w:line="360" w:lineRule="auto"/>
        <w:ind w:left="9.36004638671875" w:right="-5.489501953125" w:firstLine="0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 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5">
      <w:pPr>
        <w:widowControl w:val="0"/>
        <w:spacing w:before="33.6572265625" w:line="360" w:lineRule="auto"/>
        <w:ind w:left="9.36004638671875" w:right="-5.512695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7.991943359375" w:right="2.8955078125" w:firstLine="0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 evaluación arriba enumerados: </w:t>
      </w:r>
    </w:p>
    <w:p w:rsidR="00000000" w:rsidDel="00000000" w:rsidP="00000000" w:rsidRDefault="00000000" w:rsidRPr="00000000" w14:paraId="00000027">
      <w:pPr>
        <w:widowControl w:val="0"/>
        <w:spacing w:before="27.254638671875" w:line="360" w:lineRule="auto"/>
        <w:ind w:left="4.53598022460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A">
      <w:pPr>
        <w:widowControl w:val="0"/>
        <w:spacing w:before="0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tl w:val="0"/>
        </w:rPr>
        <w:t xml:space="preserve">% 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2. 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    </w:t>
      </w:r>
    </w:p>
    <w:p w:rsidR="00000000" w:rsidDel="00000000" w:rsidP="00000000" w:rsidRDefault="00000000" w:rsidRPr="00000000" w14:paraId="00000031">
      <w:pPr>
        <w:widowControl w:val="0"/>
        <w:spacing w:before="544.727783203125" w:line="360" w:lineRule="auto"/>
        <w:ind w:left="17.76000976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left="7.440032958984375" w:right="-5.32104492187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3">
      <w:pPr>
        <w:widowControl w:val="0"/>
        <w:spacing w:before="20.010986328125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4">
      <w:pPr>
        <w:widowControl w:val="0"/>
        <w:spacing w:before="20.010986328125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360" w:lineRule="auto"/>
        <w:ind w:left="368.855590820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ind w:left="368.855590820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9">
    <w:pPr>
      <w:numPr>
        <w:ilvl w:val="0"/>
        <w:numId w:val="1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A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B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